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2A" w:rsidRDefault="0029522A"/>
    <w:p w:rsidR="00E77F0D" w:rsidRDefault="00E77F0D"/>
    <w:p w:rsidR="00E77F0D" w:rsidRDefault="00E77F0D"/>
    <w:p w:rsidR="00E77F0D" w:rsidRPr="00E77F0D" w:rsidRDefault="00E77F0D" w:rsidP="00E7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77F0D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0" distR="0" simplePos="0" relativeHeight="251659264" behindDoc="0" locked="0" layoutInCell="1" allowOverlap="0" wp14:anchorId="6BB983B1" wp14:editId="46FE038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0175" cy="1352550"/>
            <wp:effectExtent l="0" t="0" r="9525" b="0"/>
            <wp:wrapSquare wrapText="bothSides"/>
            <wp:docPr id="1" name="Afbeelding 1" descr="http://www.boatus.com/guide/images/fors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atus.com/guide/images/forsal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BoatU.S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Boat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Checklist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Buyers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Sellers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E77F0D" w:rsidRPr="00E77F0D" w:rsidRDefault="00E77F0D" w:rsidP="00E7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Evaluating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boat’s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condition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before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purchase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makes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easier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prospective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owner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say “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good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buy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” or “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good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bye”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deal.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Likewise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objective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eye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need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corrected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makes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easier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prepare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boat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sale.</w:t>
      </w:r>
    </w:p>
    <w:p w:rsidR="00E77F0D" w:rsidRPr="00E77F0D" w:rsidRDefault="00E77F0D" w:rsidP="00E7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Use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checklist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preliminary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evaluation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We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suggest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using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scale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1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where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 =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poor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 = excellent. Take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good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hard look at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shape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boat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in. Is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clean? Are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signs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rust,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hull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blisters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peeling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paint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varnish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previous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repairs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cracks or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corrosion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Don’t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forget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check operating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gear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like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winches,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steering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systems, running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standing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rigging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sailboats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lights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head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galley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equipment, electronics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instrumentation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Start up the engine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take a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sea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trial. Check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compliance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U.S. Coast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Guard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safety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equipment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requirements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listed</w:t>
      </w:r>
      <w:proofErr w:type="spellEnd"/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 </w:t>
      </w:r>
      <w:hyperlink r:id="rId7" w:tgtFrame="_blank" w:history="1">
        <w:r w:rsidRPr="00E77F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www.boatus.com/guide/b_cgreq.asp</w:t>
        </w:r>
      </w:hyperlink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E77F0D" w:rsidRPr="00E77F0D" w:rsidRDefault="00E77F0D" w:rsidP="00E7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This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checklist is NOT a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substitute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for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inspections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by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a competent marine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surveyor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and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a marine engine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mechanic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. For more information go </w:t>
      </w:r>
      <w:proofErr w:type="spellStart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to</w:t>
      </w:r>
      <w:proofErr w:type="spellEnd"/>
      <w:r w:rsidRPr="00E77F0D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hyperlink r:id="rId8" w:tgtFrame="_blank" w:history="1">
        <w:r w:rsidRPr="00E77F0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nl-NL"/>
          </w:rPr>
          <w:t>www.boatus.com/guide/b_seatrials.asp</w:t>
        </w:r>
      </w:hyperlink>
      <w:r w:rsidRPr="00E77F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60"/>
        <w:gridCol w:w="4758"/>
      </w:tblGrid>
      <w:tr w:rsidR="00E77F0D" w:rsidRPr="00E77F0D" w:rsidTr="00E77F0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399"/>
              <w:gridCol w:w="1746"/>
              <w:gridCol w:w="399"/>
            </w:tblGrid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EXTERIOR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1-5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INTERIOR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1-5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Bottom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surface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Water 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Tightness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Hull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Finish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Cabin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Security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Deck/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Cabin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Upholstery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Helm Station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Molding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/Trim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Hull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to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-Deck Joint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Locker Space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Molding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, Trim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Galley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Hardware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Head/Holding Tank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Cushions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Lighting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Hatch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(es)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Bilge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Portlight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Air Conditioner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Windshield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Other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Liferail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/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Pulpit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</w:tbl>
          <w:p w:rsidR="00E77F0D" w:rsidRPr="00E77F0D" w:rsidRDefault="00E77F0D" w:rsidP="00E7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E77F0D" w:rsidRPr="00E77F0D" w:rsidRDefault="00E77F0D" w:rsidP="00E7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77F0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399"/>
              <w:gridCol w:w="2030"/>
              <w:gridCol w:w="399"/>
            </w:tblGrid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OPERATING GEAR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1-5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SAILBOATS ONLY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  <w:t>1-5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Engine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Mast(s)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Steering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System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Boom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Shifting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System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Sail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Propeller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Running 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Rigging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Battery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Standing </w:t>
                  </w: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Rigging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Wiring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, Connections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Keel/Centerboard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Bilge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Pump(s)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Rudder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Fuel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Tank(s)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Other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Fuel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 Lines, Vents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Gauges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Seacock</w:t>
                  </w:r>
                  <w:proofErr w:type="spellEnd"/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(s)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E77F0D" w:rsidRPr="00E77F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Lines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  <w:hideMark/>
                </w:tcPr>
                <w:p w:rsidR="00E77F0D" w:rsidRPr="00E77F0D" w:rsidRDefault="00E77F0D" w:rsidP="00E77F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E77F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</w:tbl>
          <w:p w:rsidR="00E77F0D" w:rsidRPr="00E77F0D" w:rsidRDefault="00E77F0D" w:rsidP="00E7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E77F0D" w:rsidRDefault="00E77F0D"/>
    <w:p w:rsidR="00E77F0D" w:rsidRPr="00E77F0D" w:rsidRDefault="00E77F0D" w:rsidP="00E77F0D"/>
    <w:p w:rsidR="00E77F0D" w:rsidRPr="00E77F0D" w:rsidRDefault="00E77F0D" w:rsidP="00E77F0D">
      <w:pPr>
        <w:numPr>
          <w:ilvl w:val="0"/>
          <w:numId w:val="1"/>
        </w:numPr>
      </w:pPr>
      <w:r w:rsidRPr="00E77F0D">
        <w:t xml:space="preserve">Onderwaterschip: 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Osmose</w:t>
      </w:r>
    </w:p>
    <w:p w:rsidR="00E77F0D" w:rsidRPr="00E77F0D" w:rsidRDefault="00E77F0D" w:rsidP="00E77F0D">
      <w:pPr>
        <w:numPr>
          <w:ilvl w:val="1"/>
          <w:numId w:val="1"/>
        </w:numPr>
      </w:pPr>
      <w:proofErr w:type="spellStart"/>
      <w:r w:rsidRPr="00E77F0D">
        <w:t>delaminatie</w:t>
      </w:r>
      <w:proofErr w:type="spellEnd"/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kiel/zwaard constructie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schroef en schroefas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roer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anodes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huiddoorvoeren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 xml:space="preserve">boegschroef / hekschroef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Bovenwaterschip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dek en opbouw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verfsysteem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bekleding dek en kuip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ankerketting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lieren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luiken en poorten</w:t>
      </w:r>
    </w:p>
    <w:p w:rsidR="00E77F0D" w:rsidRPr="00E77F0D" w:rsidRDefault="00E77F0D" w:rsidP="00E77F0D">
      <w:pPr>
        <w:numPr>
          <w:ilvl w:val="1"/>
          <w:numId w:val="1"/>
        </w:numPr>
      </w:pPr>
      <w:proofErr w:type="spellStart"/>
      <w:r w:rsidRPr="00E77F0D">
        <w:t>railing</w:t>
      </w:r>
      <w:proofErr w:type="spellEnd"/>
      <w:r w:rsidRPr="00E77F0D">
        <w:t xml:space="preserve"> scepters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 xml:space="preserve">raamrubbers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Tuigage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masten en rondhouten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beslag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staand en lopend want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mast constructies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 xml:space="preserve">lieren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Romp binnenzijde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afsluiters en aansluitingen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lastRenderedPageBreak/>
        <w:t>standpijpen</w:t>
      </w:r>
    </w:p>
    <w:p w:rsidR="00E77F0D" w:rsidRPr="00E77F0D" w:rsidRDefault="00E77F0D" w:rsidP="00E77F0D">
      <w:pPr>
        <w:numPr>
          <w:ilvl w:val="1"/>
          <w:numId w:val="1"/>
        </w:numPr>
      </w:pPr>
      <w:proofErr w:type="spellStart"/>
      <w:r w:rsidRPr="00E77F0D">
        <w:t>bilges</w:t>
      </w:r>
      <w:proofErr w:type="spellEnd"/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tanks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dek-romp verbinding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mastfundatie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kielbouten en/of zwaardconstructie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interieur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stoffering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hangsluitwerk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 xml:space="preserve">isolatie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Technische installatie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drinkwatertanks en pomp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grijs- en zwartwatertanks en pompen sanitair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verwarming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beoordeling brandveiligheid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gas installatie uitgebreid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 xml:space="preserve">elektrische installatie uitgebreid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Voortstuwingsinstallatie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motor / generator fundaties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brandstofsysteem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koelsysteem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motor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meten van temperaturen op diverse plaatsen in de motor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stuwlager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meten van rechtheid en speling van de schroefas en stuwdruk lager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controle speling krukas indien mogelijk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t>dynamo</w:t>
      </w:r>
    </w:p>
    <w:p w:rsidR="00E77F0D" w:rsidRPr="00E77F0D" w:rsidRDefault="00E77F0D" w:rsidP="00E77F0D">
      <w:pPr>
        <w:numPr>
          <w:ilvl w:val="1"/>
          <w:numId w:val="1"/>
        </w:numPr>
      </w:pPr>
      <w:r w:rsidRPr="00E77F0D">
        <w:lastRenderedPageBreak/>
        <w:t>accu's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 xml:space="preserve">Brandveiligheid van de installatie 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Veiligheid en reddingsmiddelen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>Uitrusting en apparatuur</w:t>
      </w:r>
    </w:p>
    <w:p w:rsidR="00E77F0D" w:rsidRPr="00E77F0D" w:rsidRDefault="00E77F0D" w:rsidP="00E77F0D">
      <w:pPr>
        <w:numPr>
          <w:ilvl w:val="0"/>
          <w:numId w:val="1"/>
        </w:numPr>
      </w:pPr>
      <w:r w:rsidRPr="00E77F0D">
        <w:t xml:space="preserve">Controle op CIN-code (serienummer boot) en motornummers </w:t>
      </w:r>
    </w:p>
    <w:p w:rsidR="00E77F0D" w:rsidRDefault="00E77F0D"/>
    <w:p w:rsidR="00E77F0D" w:rsidRDefault="00E77F0D"/>
    <w:p w:rsidR="00E77F0D" w:rsidRDefault="00E77F0D"/>
    <w:p w:rsidR="00E77F0D" w:rsidRDefault="00E77F0D">
      <w:bookmarkStart w:id="0" w:name="_GoBack"/>
      <w:bookmarkEnd w:id="0"/>
    </w:p>
    <w:sectPr w:rsidR="00E7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6403"/>
    <w:multiLevelType w:val="multilevel"/>
    <w:tmpl w:val="100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D"/>
    <w:rsid w:val="0029522A"/>
    <w:rsid w:val="00941A8F"/>
    <w:rsid w:val="00E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us.com/guide/b_seatrials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atus.com/guide/b_cgreq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Arts</dc:creator>
  <cp:lastModifiedBy>S. Arts</cp:lastModifiedBy>
  <cp:revision>2</cp:revision>
  <cp:lastPrinted>2011-03-18T15:47:00Z</cp:lastPrinted>
  <dcterms:created xsi:type="dcterms:W3CDTF">2011-03-18T15:34:00Z</dcterms:created>
  <dcterms:modified xsi:type="dcterms:W3CDTF">2011-03-18T21:48:00Z</dcterms:modified>
</cp:coreProperties>
</file>